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C3" w:rsidRPr="009105C3" w:rsidRDefault="009105C3" w:rsidP="009105C3">
      <w:pPr>
        <w:jc w:val="center"/>
        <w:rPr>
          <w:b/>
        </w:rPr>
      </w:pPr>
      <w:r w:rsidRPr="009105C3">
        <w:rPr>
          <w:b/>
        </w:rPr>
        <w:t xml:space="preserve">Explication linéaire du texte de Romain Gary, </w:t>
      </w:r>
      <w:r w:rsidRPr="009105C3">
        <w:rPr>
          <w:b/>
          <w:i/>
        </w:rPr>
        <w:t>La Promesse de l’aube</w:t>
      </w:r>
      <w:r w:rsidRPr="009105C3">
        <w:rPr>
          <w:b/>
        </w:rPr>
        <w:t>, I, 1</w:t>
      </w:r>
    </w:p>
    <w:p w:rsidR="00A51002" w:rsidRDefault="00DC16A5" w:rsidP="00DC16A5">
      <w:r w:rsidRPr="009105C3">
        <w:rPr>
          <w:u w:val="single"/>
        </w:rPr>
        <w:t>Vocabulaire</w:t>
      </w:r>
      <w:r>
        <w:t> : goguenard = moqueur, gauloise = cigarette de marque La Gauloise, troufion = soldat (argotique)</w:t>
      </w:r>
    </w:p>
    <w:p w:rsidR="00DC16A5" w:rsidRPr="009105C3" w:rsidRDefault="00DC16A5" w:rsidP="00DC16A5">
      <w:pPr>
        <w:rPr>
          <w:u w:val="single"/>
        </w:rPr>
      </w:pPr>
      <w:r w:rsidRPr="009105C3">
        <w:rPr>
          <w:u w:val="single"/>
        </w:rPr>
        <w:t>Eléments d’analyse</w:t>
      </w:r>
    </w:p>
    <w:p w:rsidR="009105C3" w:rsidRPr="009105C3" w:rsidRDefault="009105C3" w:rsidP="009105C3">
      <w:pPr>
        <w:pStyle w:val="Paragraphedeliste"/>
        <w:numPr>
          <w:ilvl w:val="0"/>
          <w:numId w:val="3"/>
        </w:numPr>
        <w:rPr>
          <w:i/>
        </w:rPr>
      </w:pPr>
      <w:r w:rsidRPr="009105C3">
        <w:rPr>
          <w:i/>
        </w:rPr>
        <w:t>Le portrait de la mère du personnage principal (du début jusqu’à « tradition »)</w:t>
      </w:r>
    </w:p>
    <w:tbl>
      <w:tblPr>
        <w:tblStyle w:val="Grilledutableau"/>
        <w:tblW w:w="0" w:type="auto"/>
        <w:tblLook w:val="04A0" w:firstRow="1" w:lastRow="0" w:firstColumn="1" w:lastColumn="0" w:noHBand="0" w:noVBand="1"/>
      </w:tblPr>
      <w:tblGrid>
        <w:gridCol w:w="2058"/>
        <w:gridCol w:w="2298"/>
        <w:gridCol w:w="2353"/>
        <w:gridCol w:w="2353"/>
      </w:tblGrid>
      <w:tr w:rsidR="009105C3" w:rsidTr="00DF7F1C">
        <w:tc>
          <w:tcPr>
            <w:tcW w:w="2058" w:type="dxa"/>
          </w:tcPr>
          <w:p w:rsidR="009105C3" w:rsidRDefault="009105C3" w:rsidP="00DF7F1C"/>
        </w:tc>
        <w:tc>
          <w:tcPr>
            <w:tcW w:w="2298" w:type="dxa"/>
          </w:tcPr>
          <w:p w:rsidR="009105C3" w:rsidRPr="009105C3" w:rsidRDefault="009105C3" w:rsidP="009105C3">
            <w:pPr>
              <w:jc w:val="center"/>
              <w:rPr>
                <w:b/>
              </w:rPr>
            </w:pPr>
            <w:r w:rsidRPr="009105C3">
              <w:rPr>
                <w:b/>
              </w:rPr>
              <w:t>Citation</w:t>
            </w:r>
          </w:p>
        </w:tc>
        <w:tc>
          <w:tcPr>
            <w:tcW w:w="2353" w:type="dxa"/>
          </w:tcPr>
          <w:p w:rsidR="009105C3" w:rsidRPr="009105C3" w:rsidRDefault="009105C3" w:rsidP="009105C3">
            <w:pPr>
              <w:jc w:val="center"/>
              <w:rPr>
                <w:b/>
              </w:rPr>
            </w:pPr>
            <w:r w:rsidRPr="009105C3">
              <w:rPr>
                <w:b/>
              </w:rPr>
              <w:t>Relevé de procédés littéraires</w:t>
            </w:r>
          </w:p>
        </w:tc>
        <w:tc>
          <w:tcPr>
            <w:tcW w:w="2353" w:type="dxa"/>
          </w:tcPr>
          <w:p w:rsidR="009105C3" w:rsidRPr="009105C3" w:rsidRDefault="009105C3" w:rsidP="009105C3">
            <w:pPr>
              <w:jc w:val="center"/>
              <w:rPr>
                <w:b/>
              </w:rPr>
            </w:pPr>
            <w:r w:rsidRPr="009105C3">
              <w:rPr>
                <w:b/>
              </w:rPr>
              <w:t>Sens des procédés littéraires relevés</w:t>
            </w:r>
          </w:p>
        </w:tc>
      </w:tr>
      <w:tr w:rsidR="009105C3" w:rsidTr="00DF7F1C">
        <w:tc>
          <w:tcPr>
            <w:tcW w:w="2058" w:type="dxa"/>
          </w:tcPr>
          <w:p w:rsidR="009105C3" w:rsidRDefault="009105C3" w:rsidP="00DF7F1C">
            <w:r>
              <w:t>1</w:t>
            </w:r>
          </w:p>
          <w:p w:rsidR="009105C3" w:rsidRDefault="009105C3" w:rsidP="00DF7F1C"/>
          <w:p w:rsidR="009105C3" w:rsidRDefault="009105C3" w:rsidP="00DF7F1C"/>
          <w:p w:rsidR="009105C3" w:rsidRDefault="009105C3" w:rsidP="00DF7F1C"/>
          <w:p w:rsidR="009105C3" w:rsidRDefault="009105C3" w:rsidP="00DF7F1C">
            <w:r>
              <w:t xml:space="preserve">2 </w:t>
            </w:r>
          </w:p>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r>
              <w:t>3</w:t>
            </w:r>
          </w:p>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r>
              <w:t>4</w:t>
            </w:r>
          </w:p>
          <w:p w:rsidR="009105C3" w:rsidRDefault="009105C3" w:rsidP="00DF7F1C"/>
        </w:tc>
        <w:tc>
          <w:tcPr>
            <w:tcW w:w="2298" w:type="dxa"/>
          </w:tcPr>
          <w:p w:rsidR="009105C3" w:rsidRDefault="009105C3" w:rsidP="00DF7F1C">
            <w:r>
              <w:t>« </w:t>
            </w:r>
            <w:proofErr w:type="gramStart"/>
            <w:r>
              <w:t>devant</w:t>
            </w:r>
            <w:proofErr w:type="gramEnd"/>
            <w:r>
              <w:t xml:space="preserve"> la cantine (…) lè</w:t>
            </w:r>
            <w:r>
              <w:t>vres »</w:t>
            </w:r>
          </w:p>
          <w:p w:rsidR="009105C3" w:rsidRDefault="009105C3" w:rsidP="00DF7F1C"/>
          <w:p w:rsidR="009105C3" w:rsidRDefault="009105C3" w:rsidP="00DF7F1C"/>
          <w:p w:rsidR="009105C3" w:rsidRDefault="009105C3" w:rsidP="00DF7F1C">
            <w:r>
              <w:t>« </w:t>
            </w:r>
            <w:proofErr w:type="gramStart"/>
            <w:r>
              <w:t>canne</w:t>
            </w:r>
            <w:proofErr w:type="gramEnd"/>
            <w:r>
              <w:t> »</w:t>
            </w:r>
            <w:r>
              <w:t>, « gauloise aux lèvres »</w:t>
            </w:r>
          </w:p>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r>
              <w:t>« </w:t>
            </w:r>
            <w:proofErr w:type="gramStart"/>
            <w:r>
              <w:t>elle</w:t>
            </w:r>
            <w:proofErr w:type="gramEnd"/>
            <w:r>
              <w:t xml:space="preserve"> m’ouvrit les bras » et « en attendant (…) s’y jetât »</w:t>
            </w:r>
          </w:p>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r>
              <w:t>« théâtral » + « Meilleure tradition »</w:t>
            </w:r>
          </w:p>
        </w:tc>
        <w:tc>
          <w:tcPr>
            <w:tcW w:w="2353" w:type="dxa"/>
          </w:tcPr>
          <w:p w:rsidR="009105C3" w:rsidRDefault="009105C3" w:rsidP="009105C3">
            <w:proofErr w:type="gramStart"/>
            <w:r>
              <w:t>énumération</w:t>
            </w:r>
            <w:proofErr w:type="gramEnd"/>
            <w:r>
              <w:t xml:space="preserve"> de 3 CC </w:t>
            </w:r>
          </w:p>
          <w:p w:rsidR="009105C3" w:rsidRDefault="009105C3" w:rsidP="00DF7F1C"/>
          <w:p w:rsidR="009105C3" w:rsidRDefault="009105C3" w:rsidP="00DF7F1C"/>
          <w:p w:rsidR="009105C3" w:rsidRDefault="009105C3" w:rsidP="00DF7F1C"/>
          <w:p w:rsidR="009105C3" w:rsidRDefault="009105C3" w:rsidP="009105C3">
            <w:proofErr w:type="gramStart"/>
            <w:r>
              <w:t>connotations</w:t>
            </w:r>
            <w:proofErr w:type="gramEnd"/>
            <w:r>
              <w:t xml:space="preserve"> négatives ; </w:t>
            </w:r>
            <w:r>
              <w:t>vieillesse donc décalage par rapport aux autres ; manque d’élégance, de féminité et d’argent  donc possible honte du pp</w:t>
            </w:r>
          </w:p>
          <w:p w:rsidR="009105C3" w:rsidRDefault="009105C3" w:rsidP="00DF7F1C"/>
          <w:p w:rsidR="009105C3" w:rsidRDefault="009105C3" w:rsidP="00DF7F1C">
            <w:proofErr w:type="gramStart"/>
            <w:r>
              <w:t>passé</w:t>
            </w:r>
            <w:proofErr w:type="gramEnd"/>
            <w:r>
              <w:t xml:space="preserve"> simple (ouvrit) contre participe présent (attendant, ici employé comme gérondif avec la préposition « en »)</w:t>
            </w:r>
            <w:r>
              <w:t xml:space="preserve"> </w:t>
            </w:r>
            <w:r>
              <w:t>=&gt; action brève contre action longue</w:t>
            </w:r>
          </w:p>
          <w:p w:rsidR="009105C3" w:rsidRDefault="009105C3" w:rsidP="00DF7F1C"/>
          <w:p w:rsidR="009105C3" w:rsidRDefault="009105C3" w:rsidP="00DF7F1C">
            <w:r>
              <w:t>référence à la tradition théâtrale tragique</w:t>
            </w:r>
          </w:p>
        </w:tc>
        <w:tc>
          <w:tcPr>
            <w:tcW w:w="2353" w:type="dxa"/>
          </w:tcPr>
          <w:p w:rsidR="009105C3" w:rsidRDefault="009105C3" w:rsidP="009105C3">
            <w:r>
              <w:t xml:space="preserve"> Le narrateur détaille et insiste sur le portrait de sa mère pour que le lecteur la visualise</w:t>
            </w:r>
          </w:p>
          <w:p w:rsidR="009105C3" w:rsidRDefault="009105C3" w:rsidP="009105C3"/>
          <w:p w:rsidR="009105C3" w:rsidRDefault="009105C3" w:rsidP="009105C3">
            <w:r>
              <w:t xml:space="preserve">Adoption du point de vue des soldats par le narrateur ; anticipe la moquerie, la voit à travers les yeux des autres </w:t>
            </w:r>
          </w:p>
          <w:p w:rsidR="009105C3" w:rsidRDefault="009105C3" w:rsidP="009105C3"/>
          <w:p w:rsidR="009105C3" w:rsidRDefault="009105C3" w:rsidP="009105C3"/>
          <w:p w:rsidR="009105C3" w:rsidRDefault="009105C3" w:rsidP="00DF7F1C"/>
          <w:p w:rsidR="009105C3" w:rsidRDefault="009105C3" w:rsidP="009105C3">
            <w:r>
              <w:t>L’accent est porté sur l’attente de la mère donc sur la gêne et la honte de son fils</w:t>
            </w:r>
          </w:p>
          <w:p w:rsidR="009105C3" w:rsidRDefault="009105C3" w:rsidP="00DF7F1C"/>
          <w:p w:rsidR="009105C3" w:rsidRDefault="009105C3" w:rsidP="00DF7F1C"/>
          <w:p w:rsidR="009105C3" w:rsidRDefault="009105C3" w:rsidP="00DF7F1C"/>
          <w:p w:rsidR="009105C3" w:rsidRDefault="009105C3" w:rsidP="00DF7F1C"/>
          <w:p w:rsidR="009105C3" w:rsidRDefault="009105C3" w:rsidP="00DF7F1C"/>
          <w:p w:rsidR="009105C3" w:rsidRDefault="009105C3" w:rsidP="00DF7F1C">
            <w:r>
              <w:t>L’auteur montre l’exagération de l’attitude de sa mère et son manque de naturel ; il se sent obligé lui aussi de jouer un rôle</w:t>
            </w:r>
          </w:p>
        </w:tc>
      </w:tr>
    </w:tbl>
    <w:p w:rsidR="009105C3" w:rsidRDefault="009105C3" w:rsidP="009105C3">
      <w:pPr>
        <w:pStyle w:val="Paragraphedeliste"/>
        <w:ind w:left="1080"/>
      </w:pPr>
    </w:p>
    <w:p w:rsidR="003F7CA0" w:rsidRPr="009105C3" w:rsidRDefault="003F7CA0" w:rsidP="009105C3">
      <w:pPr>
        <w:pStyle w:val="Paragraphedeliste"/>
        <w:numPr>
          <w:ilvl w:val="0"/>
          <w:numId w:val="3"/>
        </w:numPr>
        <w:rPr>
          <w:i/>
        </w:rPr>
      </w:pPr>
      <w:r w:rsidRPr="009105C3">
        <w:rPr>
          <w:i/>
        </w:rPr>
        <w:t>La glorification du personnage principal par sa mère (« Je l’embrassai (…) tu es »)</w:t>
      </w:r>
    </w:p>
    <w:tbl>
      <w:tblPr>
        <w:tblStyle w:val="Grilledutableau"/>
        <w:tblW w:w="0" w:type="auto"/>
        <w:tblLook w:val="04A0" w:firstRow="1" w:lastRow="0" w:firstColumn="1" w:lastColumn="0" w:noHBand="0" w:noVBand="1"/>
      </w:tblPr>
      <w:tblGrid>
        <w:gridCol w:w="2058"/>
        <w:gridCol w:w="2298"/>
        <w:gridCol w:w="2353"/>
        <w:gridCol w:w="2353"/>
      </w:tblGrid>
      <w:tr w:rsidR="00AE7FD1" w:rsidTr="00AE7FD1">
        <w:tc>
          <w:tcPr>
            <w:tcW w:w="2058" w:type="dxa"/>
          </w:tcPr>
          <w:p w:rsidR="00AE7FD1" w:rsidRDefault="00AE7FD1" w:rsidP="00AE7FD1"/>
        </w:tc>
        <w:tc>
          <w:tcPr>
            <w:tcW w:w="2298" w:type="dxa"/>
          </w:tcPr>
          <w:p w:rsidR="00AE7FD1" w:rsidRPr="009105C3" w:rsidRDefault="00AE7FD1" w:rsidP="009105C3">
            <w:pPr>
              <w:jc w:val="center"/>
              <w:rPr>
                <w:b/>
              </w:rPr>
            </w:pPr>
            <w:r w:rsidRPr="009105C3">
              <w:rPr>
                <w:b/>
              </w:rPr>
              <w:t>Citation</w:t>
            </w:r>
          </w:p>
        </w:tc>
        <w:tc>
          <w:tcPr>
            <w:tcW w:w="2353" w:type="dxa"/>
          </w:tcPr>
          <w:p w:rsidR="00AE7FD1" w:rsidRPr="009105C3" w:rsidRDefault="00AE7FD1" w:rsidP="009105C3">
            <w:pPr>
              <w:jc w:val="center"/>
              <w:rPr>
                <w:b/>
              </w:rPr>
            </w:pPr>
            <w:r w:rsidRPr="009105C3">
              <w:rPr>
                <w:b/>
              </w:rPr>
              <w:t>Relevé de procédés littéraires</w:t>
            </w:r>
          </w:p>
        </w:tc>
        <w:tc>
          <w:tcPr>
            <w:tcW w:w="2353" w:type="dxa"/>
          </w:tcPr>
          <w:p w:rsidR="00AE7FD1" w:rsidRPr="009105C3" w:rsidRDefault="00AE7FD1" w:rsidP="009105C3">
            <w:pPr>
              <w:jc w:val="center"/>
              <w:rPr>
                <w:b/>
              </w:rPr>
            </w:pPr>
            <w:r w:rsidRPr="009105C3">
              <w:rPr>
                <w:b/>
              </w:rPr>
              <w:t>Sens des procédés littéraires relevés</w:t>
            </w:r>
          </w:p>
        </w:tc>
      </w:tr>
      <w:tr w:rsidR="00AE7FD1" w:rsidTr="00AE7FD1">
        <w:tc>
          <w:tcPr>
            <w:tcW w:w="2058" w:type="dxa"/>
          </w:tcPr>
          <w:p w:rsidR="00AE7FD1" w:rsidRDefault="00AE7FD1" w:rsidP="00AE7FD1">
            <w:r>
              <w:t>1</w:t>
            </w:r>
          </w:p>
          <w:p w:rsidR="00AE7FD1" w:rsidRDefault="00AE7FD1" w:rsidP="00AE7FD1"/>
          <w:p w:rsidR="00AE7FD1" w:rsidRDefault="00AE7FD1" w:rsidP="00AE7FD1"/>
          <w:p w:rsidR="00AE7FD1" w:rsidRDefault="00AE7FD1" w:rsidP="00AE7FD1">
            <w:r>
              <w:t xml:space="preserve">2 </w:t>
            </w:r>
          </w:p>
          <w:p w:rsidR="00AE7FD1" w:rsidRDefault="00AE7FD1" w:rsidP="00AE7FD1"/>
          <w:p w:rsidR="00AE7FD1" w:rsidRDefault="00AE7FD1" w:rsidP="00AE7FD1"/>
          <w:p w:rsidR="009105C3" w:rsidRDefault="009105C3" w:rsidP="00AE7FD1"/>
          <w:p w:rsidR="00AE7FD1" w:rsidRDefault="00AE7FD1" w:rsidP="00AE7FD1">
            <w:r>
              <w:lastRenderedPageBreak/>
              <w:t>3</w:t>
            </w:r>
          </w:p>
        </w:tc>
        <w:tc>
          <w:tcPr>
            <w:tcW w:w="2298" w:type="dxa"/>
          </w:tcPr>
          <w:p w:rsidR="00AE7FD1" w:rsidRDefault="00AE7FD1" w:rsidP="00AE7FD1">
            <w:r>
              <w:lastRenderedPageBreak/>
              <w:t>« Tu seras un héros (…) de France »</w:t>
            </w:r>
          </w:p>
          <w:p w:rsidR="00AE7FD1" w:rsidRDefault="00AE7FD1" w:rsidP="00AE7FD1"/>
          <w:p w:rsidR="00AE7FD1" w:rsidRDefault="00AE7FD1" w:rsidP="00AE7FD1">
            <w:r>
              <w:t>« Je sentis le sang me brûler la figure »</w:t>
            </w:r>
          </w:p>
          <w:p w:rsidR="00AE7FD1" w:rsidRDefault="00AE7FD1" w:rsidP="00AE7FD1"/>
          <w:p w:rsidR="009105C3" w:rsidRDefault="009105C3" w:rsidP="00AE7FD1"/>
          <w:p w:rsidR="00AE7FD1" w:rsidRDefault="00AE7FD1" w:rsidP="00AE7FD1">
            <w:r>
              <w:lastRenderedPageBreak/>
              <w:t>« Le sang (…) cœur »</w:t>
            </w:r>
          </w:p>
        </w:tc>
        <w:tc>
          <w:tcPr>
            <w:tcW w:w="2353" w:type="dxa"/>
          </w:tcPr>
          <w:p w:rsidR="00AE7FD1" w:rsidRDefault="00AE7FD1" w:rsidP="00AE7FD1">
            <w:r>
              <w:lastRenderedPageBreak/>
              <w:t>Hyperbole + énumération</w:t>
            </w:r>
          </w:p>
          <w:p w:rsidR="00AE7FD1" w:rsidRDefault="00AE7FD1" w:rsidP="00AE7FD1"/>
          <w:p w:rsidR="00AE7FD1" w:rsidRDefault="00AE7FD1" w:rsidP="00AE7FD1">
            <w:r>
              <w:t>Hyperbole + métaphore</w:t>
            </w:r>
          </w:p>
          <w:p w:rsidR="00AE7FD1" w:rsidRDefault="00AE7FD1" w:rsidP="00AE7FD1"/>
          <w:p w:rsidR="009105C3" w:rsidRDefault="009105C3" w:rsidP="00AE7FD1"/>
          <w:p w:rsidR="00AE7FD1" w:rsidRDefault="00AE7FD1" w:rsidP="00AE7FD1">
            <w:r>
              <w:lastRenderedPageBreak/>
              <w:t>Enumération + CL du corps et de l’émotion + connotations positives + main sur le cœur = syllepse de sens</w:t>
            </w:r>
          </w:p>
        </w:tc>
        <w:tc>
          <w:tcPr>
            <w:tcW w:w="2353" w:type="dxa"/>
          </w:tcPr>
          <w:p w:rsidR="00AE7FD1" w:rsidRDefault="00AE7FD1" w:rsidP="00AE7FD1">
            <w:r>
              <w:lastRenderedPageBreak/>
              <w:t>L’accent est porté sur l’espoir et l’adoration de la mère pour son fils</w:t>
            </w:r>
          </w:p>
          <w:p w:rsidR="00AE7FD1" w:rsidRDefault="00AE7FD1" w:rsidP="00AE7FD1">
            <w:r>
              <w:t>L’auteur suggère sa colère et sa gêne</w:t>
            </w:r>
          </w:p>
          <w:p w:rsidR="00AE7FD1" w:rsidRDefault="00AE7FD1" w:rsidP="00AE7FD1"/>
          <w:p w:rsidR="00AE7FD1" w:rsidRDefault="00AE7FD1" w:rsidP="00AE7FD1">
            <w:r>
              <w:lastRenderedPageBreak/>
              <w:t>L’</w:t>
            </w:r>
            <w:r w:rsidR="001B70F7">
              <w:t>auteur in</w:t>
            </w:r>
            <w:r>
              <w:t>siste sur l’aspect physique du portrait et sur la manipulation des sentiments du fils par la mère</w:t>
            </w:r>
          </w:p>
        </w:tc>
      </w:tr>
    </w:tbl>
    <w:p w:rsidR="00AE7FD1" w:rsidRPr="009105C3" w:rsidRDefault="00AE7FD1" w:rsidP="00AE7FD1">
      <w:pPr>
        <w:rPr>
          <w:i/>
        </w:rPr>
      </w:pPr>
    </w:p>
    <w:p w:rsidR="003F7CA0" w:rsidRDefault="003F7CA0" w:rsidP="009105C3">
      <w:pPr>
        <w:pStyle w:val="Paragraphedeliste"/>
        <w:numPr>
          <w:ilvl w:val="0"/>
          <w:numId w:val="3"/>
        </w:numPr>
      </w:pPr>
      <w:r w:rsidRPr="009105C3">
        <w:rPr>
          <w:i/>
        </w:rPr>
        <w:t>Les retrouvailles d’un fils et de sa mère (« Je crois (…) tempérament »)</w:t>
      </w:r>
    </w:p>
    <w:tbl>
      <w:tblPr>
        <w:tblStyle w:val="Grilledutableau"/>
        <w:tblW w:w="0" w:type="auto"/>
        <w:tblLook w:val="04A0" w:firstRow="1" w:lastRow="0" w:firstColumn="1" w:lastColumn="0" w:noHBand="0" w:noVBand="1"/>
      </w:tblPr>
      <w:tblGrid>
        <w:gridCol w:w="2058"/>
        <w:gridCol w:w="2298"/>
        <w:gridCol w:w="2353"/>
        <w:gridCol w:w="2353"/>
      </w:tblGrid>
      <w:tr w:rsidR="009105C3" w:rsidRPr="009105C3" w:rsidTr="00DF7F1C">
        <w:tc>
          <w:tcPr>
            <w:tcW w:w="2058" w:type="dxa"/>
          </w:tcPr>
          <w:p w:rsidR="009105C3" w:rsidRDefault="009105C3" w:rsidP="00DF7F1C"/>
        </w:tc>
        <w:tc>
          <w:tcPr>
            <w:tcW w:w="2298" w:type="dxa"/>
          </w:tcPr>
          <w:p w:rsidR="009105C3" w:rsidRPr="009105C3" w:rsidRDefault="009105C3" w:rsidP="00DF7F1C">
            <w:pPr>
              <w:jc w:val="center"/>
              <w:rPr>
                <w:b/>
              </w:rPr>
            </w:pPr>
            <w:r w:rsidRPr="009105C3">
              <w:rPr>
                <w:b/>
              </w:rPr>
              <w:t>Citation</w:t>
            </w:r>
          </w:p>
        </w:tc>
        <w:tc>
          <w:tcPr>
            <w:tcW w:w="2353" w:type="dxa"/>
          </w:tcPr>
          <w:p w:rsidR="009105C3" w:rsidRPr="009105C3" w:rsidRDefault="009105C3" w:rsidP="00DF7F1C">
            <w:pPr>
              <w:jc w:val="center"/>
              <w:rPr>
                <w:b/>
              </w:rPr>
            </w:pPr>
            <w:r w:rsidRPr="009105C3">
              <w:rPr>
                <w:b/>
              </w:rPr>
              <w:t>Relevé de procédés littéraires</w:t>
            </w:r>
          </w:p>
        </w:tc>
        <w:tc>
          <w:tcPr>
            <w:tcW w:w="2353" w:type="dxa"/>
          </w:tcPr>
          <w:p w:rsidR="009105C3" w:rsidRPr="009105C3" w:rsidRDefault="009105C3" w:rsidP="00DF7F1C">
            <w:pPr>
              <w:jc w:val="center"/>
              <w:rPr>
                <w:b/>
              </w:rPr>
            </w:pPr>
            <w:r w:rsidRPr="009105C3">
              <w:rPr>
                <w:b/>
              </w:rPr>
              <w:t>Sens des procédés littéraires relevés</w:t>
            </w:r>
          </w:p>
        </w:tc>
      </w:tr>
      <w:tr w:rsidR="009105C3" w:rsidTr="00DF7F1C">
        <w:tc>
          <w:tcPr>
            <w:tcW w:w="2058" w:type="dxa"/>
          </w:tcPr>
          <w:p w:rsidR="009105C3" w:rsidRDefault="009105C3" w:rsidP="00DF7F1C">
            <w:r>
              <w:t>1</w:t>
            </w:r>
          </w:p>
        </w:tc>
        <w:tc>
          <w:tcPr>
            <w:tcW w:w="2298" w:type="dxa"/>
          </w:tcPr>
          <w:p w:rsidR="009105C3" w:rsidRDefault="009105C3" w:rsidP="00DF7F1C">
            <w:r>
              <w:t>« </w:t>
            </w:r>
            <w:proofErr w:type="gramStart"/>
            <w:r>
              <w:t>a</w:t>
            </w:r>
            <w:proofErr w:type="gramEnd"/>
            <w:r>
              <w:t xml:space="preserve"> haï », « crois »</w:t>
            </w:r>
          </w:p>
          <w:p w:rsidR="009105C3" w:rsidRDefault="009105C3" w:rsidP="00DF7F1C">
            <w:r>
              <w:t>« </w:t>
            </w:r>
            <w:proofErr w:type="gramStart"/>
            <w:r>
              <w:t>essayais</w:t>
            </w:r>
            <w:proofErr w:type="gramEnd"/>
            <w:r>
              <w:t> », « compromettait », « faisais » </w:t>
            </w:r>
          </w:p>
          <w:p w:rsidR="009105C3" w:rsidRDefault="009105C3" w:rsidP="00DF7F1C">
            <w:r>
              <w:t>« prit », « mirent », « entendis »</w:t>
            </w:r>
          </w:p>
        </w:tc>
        <w:tc>
          <w:tcPr>
            <w:tcW w:w="2353" w:type="dxa"/>
          </w:tcPr>
          <w:p w:rsidR="009105C3" w:rsidRDefault="009105C3" w:rsidP="00DF7F1C">
            <w:r>
              <w:t>Emploi du présent de l’indicatif à valeur de vérité générale puis de l’imparfait de l’indicatif (actions en cours, longues) puis du passé simple de l’indicatif (actions brèves)</w:t>
            </w:r>
          </w:p>
        </w:tc>
        <w:tc>
          <w:tcPr>
            <w:tcW w:w="2353" w:type="dxa"/>
          </w:tcPr>
          <w:p w:rsidR="009105C3" w:rsidRDefault="009105C3" w:rsidP="00DF7F1C">
            <w:r>
              <w:t>La situation semble avoir atteint un point de non-retour d’où l’auteur tire une leçon (présent de vérité générale) ; cette situation s’installe (imparfaits de l’indicatif) ; mais la mère agit de manière à ce que quelque chose change (passés simples de l’indicatif)</w:t>
            </w:r>
          </w:p>
        </w:tc>
      </w:tr>
      <w:tr w:rsidR="009105C3" w:rsidTr="00DF7F1C">
        <w:tc>
          <w:tcPr>
            <w:tcW w:w="2058" w:type="dxa"/>
          </w:tcPr>
          <w:p w:rsidR="009105C3" w:rsidRDefault="009105C3" w:rsidP="00DF7F1C">
            <w:r>
              <w:t>2</w:t>
            </w:r>
          </w:p>
        </w:tc>
        <w:tc>
          <w:tcPr>
            <w:tcW w:w="2298" w:type="dxa"/>
          </w:tcPr>
          <w:p w:rsidR="009105C3" w:rsidRDefault="003C0002" w:rsidP="00DF7F1C">
            <w:r>
              <w:t>« alors que », « mais », « d’un seul coup », « cependant que »</w:t>
            </w:r>
          </w:p>
        </w:tc>
        <w:tc>
          <w:tcPr>
            <w:tcW w:w="2353" w:type="dxa"/>
          </w:tcPr>
          <w:p w:rsidR="009105C3" w:rsidRDefault="003C0002" w:rsidP="00DF7F1C">
            <w:r>
              <w:t>Mots de liaison à valeur adversative (= d’opposition)</w:t>
            </w:r>
          </w:p>
        </w:tc>
        <w:tc>
          <w:tcPr>
            <w:tcW w:w="2353" w:type="dxa"/>
          </w:tcPr>
          <w:p w:rsidR="009105C3" w:rsidRDefault="003C0002" w:rsidP="00DF7F1C">
            <w:r>
              <w:t>Le narrateur marque la différence entre un avant (agacement du fils) et un après (défense de la mère par le fils)</w:t>
            </w:r>
          </w:p>
        </w:tc>
      </w:tr>
      <w:tr w:rsidR="003C0002" w:rsidTr="00DF7F1C">
        <w:tc>
          <w:tcPr>
            <w:tcW w:w="2058" w:type="dxa"/>
          </w:tcPr>
          <w:p w:rsidR="003C0002" w:rsidRDefault="003C0002" w:rsidP="00DF7F1C">
            <w:r>
              <w:t>3</w:t>
            </w:r>
          </w:p>
        </w:tc>
        <w:tc>
          <w:tcPr>
            <w:tcW w:w="2298" w:type="dxa"/>
          </w:tcPr>
          <w:p w:rsidR="003C0002" w:rsidRDefault="003C0002" w:rsidP="00DF7F1C">
            <w:r>
              <w:t>« Alors tu as honte de ta vieille mère ? »</w:t>
            </w:r>
          </w:p>
        </w:tc>
        <w:tc>
          <w:tcPr>
            <w:tcW w:w="2353" w:type="dxa"/>
          </w:tcPr>
          <w:p w:rsidR="003C0002" w:rsidRDefault="003C0002" w:rsidP="00DF7F1C">
            <w:r>
              <w:t xml:space="preserve">Discours direct dans un passage de récit ; </w:t>
            </w:r>
          </w:p>
          <w:p w:rsidR="003C0002" w:rsidRDefault="003C0002" w:rsidP="00DF7F1C">
            <w:r>
              <w:t>Connotations négatives de « honte » et « vieille » ; interrogation oratoire (=question rhétorique, qui n’appelle pas de réponse)</w:t>
            </w:r>
          </w:p>
        </w:tc>
        <w:tc>
          <w:tcPr>
            <w:tcW w:w="2353" w:type="dxa"/>
          </w:tcPr>
          <w:p w:rsidR="003C0002" w:rsidRDefault="003C0002" w:rsidP="00DF7F1C">
            <w:r>
              <w:t xml:space="preserve">La mère dit tout haut ce que le fils pense tout bas et le fait culpabiliser de la rejeter. Il se sent dès lors obligé de prendre sa défense contre la moquerie des autres. </w:t>
            </w:r>
            <w:bookmarkStart w:id="0" w:name="_GoBack"/>
            <w:bookmarkEnd w:id="0"/>
          </w:p>
        </w:tc>
      </w:tr>
    </w:tbl>
    <w:p w:rsidR="009105C3" w:rsidRDefault="009105C3" w:rsidP="009105C3"/>
    <w:sectPr w:rsidR="0091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4D6"/>
    <w:multiLevelType w:val="hybridMultilevel"/>
    <w:tmpl w:val="F9AA9850"/>
    <w:lvl w:ilvl="0" w:tplc="9F2C03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153EB9"/>
    <w:multiLevelType w:val="hybridMultilevel"/>
    <w:tmpl w:val="86DC4FDA"/>
    <w:lvl w:ilvl="0" w:tplc="BA6A2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221B69"/>
    <w:multiLevelType w:val="hybridMultilevel"/>
    <w:tmpl w:val="0AF484E6"/>
    <w:lvl w:ilvl="0" w:tplc="BB1EFF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A0"/>
    <w:rsid w:val="001B70F7"/>
    <w:rsid w:val="003041B5"/>
    <w:rsid w:val="003C0002"/>
    <w:rsid w:val="003F7CA0"/>
    <w:rsid w:val="009105C3"/>
    <w:rsid w:val="009E2D62"/>
    <w:rsid w:val="00A51002"/>
    <w:rsid w:val="00AE7FD1"/>
    <w:rsid w:val="00C3518D"/>
    <w:rsid w:val="00DC16A5"/>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B39"/>
  <w15:chartTrackingRefBased/>
  <w15:docId w15:val="{C45708DA-3CB1-45D6-96F3-BB6999D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7CA0"/>
    <w:pPr>
      <w:ind w:left="720"/>
      <w:contextualSpacing/>
    </w:pPr>
  </w:style>
  <w:style w:type="table" w:styleId="Grilledutableau">
    <w:name w:val="Table Grid"/>
    <w:basedOn w:val="TableauNormal"/>
    <w:uiPriority w:val="39"/>
    <w:rsid w:val="00AE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7</cp:revision>
  <dcterms:created xsi:type="dcterms:W3CDTF">2020-03-12T08:36:00Z</dcterms:created>
  <dcterms:modified xsi:type="dcterms:W3CDTF">2020-03-17T13:13:00Z</dcterms:modified>
</cp:coreProperties>
</file>